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0197E" w:rsidRDefault="002863F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Majątek ZSP 2 </w:t>
      </w:r>
      <w:r>
        <w:rPr>
          <w:rFonts w:ascii="Times New Roman" w:eastAsia="Times New Roman" w:hAnsi="Times New Roman" w:cs="Times New Roman"/>
          <w:sz w:val="24"/>
          <w:szCs w:val="24"/>
        </w:rPr>
        <w:t>Rok 2015</w:t>
      </w:r>
    </w:p>
    <w:tbl>
      <w:tblPr>
        <w:tblStyle w:val="a"/>
        <w:tblW w:w="918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3"/>
        <w:gridCol w:w="2106"/>
        <w:gridCol w:w="1933"/>
      </w:tblGrid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 na początek roku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 na koniec roku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Środki trwałe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1 690 949,45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1 645 899,38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 Grunty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 Budynki, lokale i obiekty inżynierii lądowej i wodnej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989 663,13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943 782,86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 Urządzenia techniczne i maszyny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10 676,32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13 766,52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 Środki transportu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1.5. Inne środki trwałe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11 300,00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9 040,00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Środki trwałe w budowie (inwestycje)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197E">
        <w:tc>
          <w:tcPr>
            <w:tcW w:w="514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Zaliczki na środki trwałe w budowie (inwestycje)</w:t>
            </w:r>
          </w:p>
        </w:tc>
        <w:tc>
          <w:tcPr>
            <w:tcW w:w="2106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vAlign w:val="center"/>
          </w:tcPr>
          <w:p w:rsidR="00B0197E" w:rsidRDefault="002863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B0197E" w:rsidRDefault="00B0197E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B0197E">
      <w:pgSz w:w="11906" w:h="16838"/>
      <w:pgMar w:top="1417" w:right="1417" w:bottom="1417" w:left="1417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97E"/>
    <w:rsid w:val="002863F3"/>
    <w:rsid w:val="00B0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70899-BB39-4FED-880F-5B01304F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2017-05-11T14:46:00Z</dcterms:created>
  <dcterms:modified xsi:type="dcterms:W3CDTF">2017-05-11T14:46:00Z</dcterms:modified>
</cp:coreProperties>
</file>